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Pr="00B91C9E" w:rsidRDefault="00F11EFF">
      <w:pPr>
        <w:rPr>
          <w:b/>
          <w:sz w:val="24"/>
          <w:szCs w:val="24"/>
        </w:rPr>
      </w:pPr>
      <w:r w:rsidRPr="00B91C9E">
        <w:rPr>
          <w:b/>
          <w:sz w:val="24"/>
          <w:szCs w:val="24"/>
        </w:rPr>
        <w:t>Mock Trial Procedure</w:t>
      </w:r>
    </w:p>
    <w:p w:rsidR="00F11EFF" w:rsidRDefault="00F11EFF"/>
    <w:p w:rsidR="00F11EFF" w:rsidRPr="00B91C9E" w:rsidRDefault="00F11EFF" w:rsidP="00F11EFF">
      <w:pPr>
        <w:pStyle w:val="ListParagraph"/>
        <w:numPr>
          <w:ilvl w:val="0"/>
          <w:numId w:val="1"/>
        </w:numPr>
        <w:rPr>
          <w:sz w:val="24"/>
          <w:szCs w:val="24"/>
        </w:rPr>
      </w:pPr>
      <w:r w:rsidRPr="00B91C9E">
        <w:rPr>
          <w:sz w:val="24"/>
          <w:szCs w:val="24"/>
        </w:rPr>
        <w:t>Call to Order</w:t>
      </w:r>
    </w:p>
    <w:p w:rsidR="00F11EFF" w:rsidRPr="00B91C9E" w:rsidRDefault="00F11EFF" w:rsidP="00F11EFF">
      <w:pPr>
        <w:pStyle w:val="ListParagraph"/>
        <w:numPr>
          <w:ilvl w:val="0"/>
          <w:numId w:val="1"/>
        </w:numPr>
        <w:rPr>
          <w:sz w:val="24"/>
          <w:szCs w:val="24"/>
        </w:rPr>
      </w:pPr>
      <w:r w:rsidRPr="00B91C9E">
        <w:rPr>
          <w:sz w:val="24"/>
          <w:szCs w:val="24"/>
        </w:rPr>
        <w:t>Opening Statements: Prosecution/Plaintiff then Defense</w:t>
      </w:r>
    </w:p>
    <w:p w:rsidR="00F11EFF" w:rsidRPr="00B91C9E" w:rsidRDefault="00F11EFF" w:rsidP="00F11EFF">
      <w:pPr>
        <w:pStyle w:val="ListParagraph"/>
        <w:numPr>
          <w:ilvl w:val="0"/>
          <w:numId w:val="1"/>
        </w:numPr>
        <w:rPr>
          <w:sz w:val="24"/>
          <w:szCs w:val="24"/>
        </w:rPr>
      </w:pPr>
      <w:r w:rsidRPr="00B91C9E">
        <w:rPr>
          <w:sz w:val="24"/>
          <w:szCs w:val="24"/>
        </w:rPr>
        <w:t>Prosecution/Plaintiff’s witnesses</w:t>
      </w:r>
    </w:p>
    <w:p w:rsidR="00F11EFF" w:rsidRPr="00B91C9E" w:rsidRDefault="00F11EFF" w:rsidP="00F11EFF">
      <w:pPr>
        <w:pStyle w:val="ListParagraph"/>
        <w:numPr>
          <w:ilvl w:val="1"/>
          <w:numId w:val="1"/>
        </w:numPr>
        <w:rPr>
          <w:sz w:val="24"/>
          <w:szCs w:val="24"/>
        </w:rPr>
      </w:pPr>
      <w:r w:rsidRPr="00B91C9E">
        <w:rPr>
          <w:sz w:val="24"/>
          <w:szCs w:val="24"/>
        </w:rPr>
        <w:t>Direct Examination (Prosecution/Plaintiff)</w:t>
      </w:r>
    </w:p>
    <w:p w:rsidR="00F11EFF" w:rsidRPr="00B91C9E" w:rsidRDefault="003E74C4" w:rsidP="00F11EFF">
      <w:pPr>
        <w:pStyle w:val="ListParagraph"/>
        <w:numPr>
          <w:ilvl w:val="1"/>
          <w:numId w:val="1"/>
        </w:numPr>
        <w:rPr>
          <w:sz w:val="24"/>
          <w:szCs w:val="24"/>
        </w:rPr>
      </w:pPr>
      <w:r w:rsidRPr="00B91C9E">
        <w:rPr>
          <w:sz w:val="24"/>
          <w:szCs w:val="24"/>
        </w:rPr>
        <w:t>Cross Examination (Defense)</w:t>
      </w:r>
    </w:p>
    <w:p w:rsidR="003E74C4" w:rsidRPr="00B91C9E" w:rsidRDefault="003E74C4" w:rsidP="00F11EFF">
      <w:pPr>
        <w:pStyle w:val="ListParagraph"/>
        <w:numPr>
          <w:ilvl w:val="1"/>
          <w:numId w:val="1"/>
        </w:numPr>
        <w:rPr>
          <w:sz w:val="24"/>
          <w:szCs w:val="24"/>
        </w:rPr>
      </w:pPr>
      <w:r w:rsidRPr="00B91C9E">
        <w:rPr>
          <w:sz w:val="24"/>
          <w:szCs w:val="24"/>
        </w:rPr>
        <w:t>Redirect (Prosecution/Plaintiff)</w:t>
      </w:r>
    </w:p>
    <w:p w:rsidR="00F11EFF" w:rsidRPr="00B91C9E" w:rsidRDefault="00F11EFF" w:rsidP="00F11EFF">
      <w:pPr>
        <w:pStyle w:val="ListParagraph"/>
        <w:numPr>
          <w:ilvl w:val="0"/>
          <w:numId w:val="1"/>
        </w:numPr>
        <w:rPr>
          <w:sz w:val="24"/>
          <w:szCs w:val="24"/>
        </w:rPr>
      </w:pPr>
      <w:r w:rsidRPr="00B91C9E">
        <w:rPr>
          <w:sz w:val="24"/>
          <w:szCs w:val="24"/>
        </w:rPr>
        <w:t>Prosecution/Plaintiff Rests their case</w:t>
      </w:r>
    </w:p>
    <w:p w:rsidR="003E74C4" w:rsidRPr="00B91C9E" w:rsidRDefault="003E74C4" w:rsidP="00F11EFF">
      <w:pPr>
        <w:pStyle w:val="ListParagraph"/>
        <w:numPr>
          <w:ilvl w:val="0"/>
          <w:numId w:val="1"/>
        </w:numPr>
        <w:rPr>
          <w:sz w:val="24"/>
          <w:szCs w:val="24"/>
        </w:rPr>
      </w:pPr>
      <w:r w:rsidRPr="00B91C9E">
        <w:rPr>
          <w:sz w:val="24"/>
          <w:szCs w:val="24"/>
        </w:rPr>
        <w:t>Defense Calls witnesses</w:t>
      </w:r>
    </w:p>
    <w:p w:rsidR="003E74C4" w:rsidRPr="00B91C9E" w:rsidRDefault="00424547" w:rsidP="003E74C4">
      <w:pPr>
        <w:pStyle w:val="ListParagraph"/>
        <w:numPr>
          <w:ilvl w:val="1"/>
          <w:numId w:val="1"/>
        </w:numPr>
        <w:rPr>
          <w:sz w:val="24"/>
          <w:szCs w:val="24"/>
        </w:rPr>
      </w:pPr>
      <w:r w:rsidRPr="00B91C9E">
        <w:rPr>
          <w:sz w:val="24"/>
          <w:szCs w:val="24"/>
        </w:rPr>
        <w:t>Direct Examination (Defense)</w:t>
      </w:r>
    </w:p>
    <w:p w:rsidR="00424547" w:rsidRPr="00B91C9E" w:rsidRDefault="00424547" w:rsidP="003E74C4">
      <w:pPr>
        <w:pStyle w:val="ListParagraph"/>
        <w:numPr>
          <w:ilvl w:val="1"/>
          <w:numId w:val="1"/>
        </w:numPr>
        <w:rPr>
          <w:sz w:val="24"/>
          <w:szCs w:val="24"/>
        </w:rPr>
      </w:pPr>
      <w:r w:rsidRPr="00B91C9E">
        <w:rPr>
          <w:sz w:val="24"/>
          <w:szCs w:val="24"/>
        </w:rPr>
        <w:t>Cross Examination (Prosecution/Plaintiff)</w:t>
      </w:r>
    </w:p>
    <w:p w:rsidR="00424547" w:rsidRPr="00B91C9E" w:rsidRDefault="00424547" w:rsidP="003E74C4">
      <w:pPr>
        <w:pStyle w:val="ListParagraph"/>
        <w:numPr>
          <w:ilvl w:val="1"/>
          <w:numId w:val="1"/>
        </w:numPr>
        <w:rPr>
          <w:sz w:val="24"/>
          <w:szCs w:val="24"/>
        </w:rPr>
      </w:pPr>
      <w:r w:rsidRPr="00B91C9E">
        <w:rPr>
          <w:sz w:val="24"/>
          <w:szCs w:val="24"/>
        </w:rPr>
        <w:t>Redirect (Defense)</w:t>
      </w:r>
    </w:p>
    <w:p w:rsidR="003E74C4" w:rsidRPr="00B91C9E" w:rsidRDefault="003E74C4" w:rsidP="00F11EFF">
      <w:pPr>
        <w:pStyle w:val="ListParagraph"/>
        <w:numPr>
          <w:ilvl w:val="0"/>
          <w:numId w:val="1"/>
        </w:numPr>
        <w:rPr>
          <w:sz w:val="24"/>
          <w:szCs w:val="24"/>
        </w:rPr>
      </w:pPr>
      <w:r w:rsidRPr="00B91C9E">
        <w:rPr>
          <w:sz w:val="24"/>
          <w:szCs w:val="24"/>
        </w:rPr>
        <w:t>Defense Rests their case</w:t>
      </w:r>
    </w:p>
    <w:p w:rsidR="00424547" w:rsidRPr="00B91C9E" w:rsidRDefault="00424547" w:rsidP="00F11EFF">
      <w:pPr>
        <w:pStyle w:val="ListParagraph"/>
        <w:numPr>
          <w:ilvl w:val="0"/>
          <w:numId w:val="1"/>
        </w:numPr>
        <w:rPr>
          <w:sz w:val="24"/>
          <w:szCs w:val="24"/>
        </w:rPr>
      </w:pPr>
      <w:r w:rsidRPr="00B91C9E">
        <w:rPr>
          <w:sz w:val="24"/>
          <w:szCs w:val="24"/>
        </w:rPr>
        <w:t>Closing Arguments</w:t>
      </w:r>
    </w:p>
    <w:p w:rsidR="00424547" w:rsidRPr="00B91C9E" w:rsidRDefault="00424547" w:rsidP="00F11EFF">
      <w:pPr>
        <w:pStyle w:val="ListParagraph"/>
        <w:numPr>
          <w:ilvl w:val="0"/>
          <w:numId w:val="1"/>
        </w:numPr>
        <w:rPr>
          <w:sz w:val="24"/>
          <w:szCs w:val="24"/>
        </w:rPr>
      </w:pPr>
      <w:r w:rsidRPr="00B91C9E">
        <w:rPr>
          <w:sz w:val="24"/>
          <w:szCs w:val="24"/>
        </w:rPr>
        <w:t>Jury Deliberation</w:t>
      </w:r>
    </w:p>
    <w:p w:rsidR="00424547" w:rsidRPr="00B91C9E" w:rsidRDefault="00424547" w:rsidP="00F11EFF">
      <w:pPr>
        <w:pStyle w:val="ListParagraph"/>
        <w:numPr>
          <w:ilvl w:val="0"/>
          <w:numId w:val="1"/>
        </w:numPr>
        <w:rPr>
          <w:sz w:val="24"/>
          <w:szCs w:val="24"/>
        </w:rPr>
      </w:pPr>
      <w:r w:rsidRPr="00B91C9E">
        <w:rPr>
          <w:sz w:val="24"/>
          <w:szCs w:val="24"/>
        </w:rPr>
        <w:t>Verdict</w:t>
      </w:r>
    </w:p>
    <w:p w:rsidR="00424547" w:rsidRPr="00B91C9E" w:rsidRDefault="00424547" w:rsidP="00F11EFF">
      <w:pPr>
        <w:pStyle w:val="ListParagraph"/>
        <w:numPr>
          <w:ilvl w:val="0"/>
          <w:numId w:val="1"/>
        </w:numPr>
        <w:rPr>
          <w:sz w:val="24"/>
          <w:szCs w:val="24"/>
        </w:rPr>
      </w:pPr>
      <w:r w:rsidRPr="00B91C9E">
        <w:rPr>
          <w:sz w:val="24"/>
          <w:szCs w:val="24"/>
        </w:rPr>
        <w:t>Sentencing</w:t>
      </w:r>
    </w:p>
    <w:p w:rsidR="00424547" w:rsidRPr="00B91C9E" w:rsidRDefault="00424547" w:rsidP="00F11EFF">
      <w:pPr>
        <w:pStyle w:val="ListParagraph"/>
        <w:numPr>
          <w:ilvl w:val="0"/>
          <w:numId w:val="1"/>
        </w:numPr>
        <w:rPr>
          <w:sz w:val="24"/>
          <w:szCs w:val="24"/>
        </w:rPr>
      </w:pPr>
      <w:r w:rsidRPr="00B91C9E">
        <w:rPr>
          <w:sz w:val="24"/>
          <w:szCs w:val="24"/>
        </w:rPr>
        <w:t xml:space="preserve">Appeals </w:t>
      </w:r>
    </w:p>
    <w:p w:rsidR="00424547" w:rsidRDefault="00424547" w:rsidP="00424547"/>
    <w:p w:rsidR="00424547" w:rsidRDefault="00424547" w:rsidP="00424547"/>
    <w:p w:rsidR="00424547" w:rsidRPr="00B91C9E" w:rsidRDefault="00424547" w:rsidP="00424547">
      <w:pPr>
        <w:rPr>
          <w:b/>
          <w:sz w:val="24"/>
          <w:szCs w:val="24"/>
        </w:rPr>
      </w:pPr>
      <w:r w:rsidRPr="00B91C9E">
        <w:rPr>
          <w:b/>
          <w:sz w:val="24"/>
          <w:szCs w:val="24"/>
        </w:rPr>
        <w:t>Witnesses</w:t>
      </w:r>
    </w:p>
    <w:p w:rsidR="00424547" w:rsidRDefault="00424547" w:rsidP="00424547"/>
    <w:p w:rsidR="00424547" w:rsidRDefault="00424547" w:rsidP="00424547">
      <w:pPr>
        <w:pStyle w:val="ListParagraph"/>
        <w:numPr>
          <w:ilvl w:val="0"/>
          <w:numId w:val="2"/>
        </w:numPr>
      </w:pPr>
      <w:r w:rsidRPr="00B91C9E">
        <w:rPr>
          <w:b/>
          <w:sz w:val="24"/>
          <w:szCs w:val="24"/>
        </w:rPr>
        <w:t>Eye Witness:</w:t>
      </w:r>
      <w:r>
        <w:t xml:space="preserve">  Gives testimony on what they directly saw, heard, or experienced that could substantially influence the finding of guilt or innocence of the accused.  Examination of these witnesses should focus on their evidence and their credibility as a witness.</w:t>
      </w:r>
    </w:p>
    <w:p w:rsidR="00B91C9E" w:rsidRDefault="00B91C9E" w:rsidP="00B91C9E">
      <w:pPr>
        <w:pStyle w:val="ListParagraph"/>
      </w:pPr>
    </w:p>
    <w:p w:rsidR="00424547" w:rsidRDefault="00B91C9E" w:rsidP="00424547">
      <w:pPr>
        <w:pStyle w:val="ListParagraph"/>
        <w:numPr>
          <w:ilvl w:val="0"/>
          <w:numId w:val="2"/>
        </w:numPr>
      </w:pPr>
      <w:r w:rsidRPr="00B91C9E">
        <w:rPr>
          <w:b/>
          <w:sz w:val="24"/>
          <w:szCs w:val="24"/>
        </w:rPr>
        <w:t>Expert Witness:</w:t>
      </w:r>
      <w:r>
        <w:t xml:space="preserve"> Provides testimony on matters of a technical nature not often understood or known by the general population.  Often, these witnesses are used to help make sense of the value and nature of evidence gathered, emotional or psychological status of a key character in the case, or other relevant technical information. </w:t>
      </w:r>
    </w:p>
    <w:p w:rsidR="00B91C9E" w:rsidRDefault="00B91C9E" w:rsidP="00B91C9E">
      <w:pPr>
        <w:pStyle w:val="ListParagraph"/>
      </w:pPr>
    </w:p>
    <w:p w:rsidR="00B91C9E" w:rsidRDefault="00B91C9E" w:rsidP="00B91C9E">
      <w:pPr>
        <w:pStyle w:val="ListParagraph"/>
      </w:pPr>
    </w:p>
    <w:p w:rsidR="00B91C9E" w:rsidRDefault="00B91C9E" w:rsidP="00424547">
      <w:pPr>
        <w:pStyle w:val="ListParagraph"/>
        <w:numPr>
          <w:ilvl w:val="0"/>
          <w:numId w:val="2"/>
        </w:numPr>
      </w:pPr>
      <w:r w:rsidRPr="00B91C9E">
        <w:rPr>
          <w:b/>
          <w:sz w:val="24"/>
          <w:szCs w:val="24"/>
        </w:rPr>
        <w:t>Character Witness:</w:t>
      </w:r>
      <w:r>
        <w:t xml:space="preserve"> Provides first-hand testimony on the character of another important character in the case; often another witness or the defendant him/herself.</w:t>
      </w:r>
    </w:p>
    <w:sectPr w:rsidR="00B91C9E"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B17A7"/>
    <w:multiLevelType w:val="hybridMultilevel"/>
    <w:tmpl w:val="46F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2283"/>
    <w:multiLevelType w:val="hybridMultilevel"/>
    <w:tmpl w:val="7A44E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EFF"/>
    <w:rsid w:val="003E74C4"/>
    <w:rsid w:val="00424547"/>
    <w:rsid w:val="00A22C39"/>
    <w:rsid w:val="00B91C9E"/>
    <w:rsid w:val="00F11EFF"/>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2014-02-11T15:09:00Z</dcterms:created>
  <dcterms:modified xsi:type="dcterms:W3CDTF">2014-02-11T15:48:00Z</dcterms:modified>
</cp:coreProperties>
</file>